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B02" w:rsidRPr="00807B02" w:rsidRDefault="00807B02" w:rsidP="00B976C5">
      <w:pPr>
        <w:spacing w:after="0" w:line="360" w:lineRule="auto"/>
        <w:jc w:val="both"/>
        <w:rPr>
          <w:rFonts w:ascii="Palatino Linotype" w:hAnsi="Palatino Linotype"/>
          <w:b/>
          <w:sz w:val="24"/>
          <w:szCs w:val="24"/>
        </w:rPr>
      </w:pPr>
      <w:r w:rsidRPr="00FF6A10">
        <w:rPr>
          <w:rFonts w:ascii="Palatino Linotype" w:hAnsi="Palatino Linotype"/>
          <w:b/>
          <w:sz w:val="24"/>
          <w:szCs w:val="24"/>
        </w:rPr>
        <w:t>VOTO PARTICULAR</w:t>
      </w:r>
      <w:r w:rsidR="00923BD5">
        <w:rPr>
          <w:rFonts w:ascii="Palatino Linotype" w:hAnsi="Palatino Linotype"/>
          <w:b/>
          <w:sz w:val="24"/>
          <w:szCs w:val="24"/>
        </w:rPr>
        <w:t xml:space="preserve"> </w:t>
      </w:r>
      <w:r w:rsidR="00C451CE">
        <w:rPr>
          <w:rFonts w:ascii="Palatino Linotype" w:hAnsi="Palatino Linotype"/>
          <w:b/>
          <w:sz w:val="24"/>
          <w:szCs w:val="24"/>
        </w:rPr>
        <w:t>QUE FORMULA</w:t>
      </w:r>
      <w:r w:rsidR="00923BD5">
        <w:rPr>
          <w:rFonts w:ascii="Palatino Linotype" w:hAnsi="Palatino Linotype"/>
          <w:b/>
          <w:sz w:val="24"/>
          <w:szCs w:val="24"/>
        </w:rPr>
        <w:t xml:space="preserve"> EL COMISIONADO JAVIE</w:t>
      </w:r>
      <w:r w:rsidR="00C451CE">
        <w:rPr>
          <w:rFonts w:ascii="Palatino Linotype" w:hAnsi="Palatino Linotype"/>
          <w:b/>
          <w:sz w:val="24"/>
          <w:szCs w:val="24"/>
        </w:rPr>
        <w:t>R MARTÍNEZ CRUZ</w:t>
      </w:r>
      <w:r w:rsidRPr="00B71BFC">
        <w:rPr>
          <w:rFonts w:ascii="Palatino Linotype" w:hAnsi="Palatino Linotype"/>
          <w:b/>
          <w:sz w:val="24"/>
          <w:szCs w:val="24"/>
        </w:rPr>
        <w:t>, EN RELACIÓN CON LA RESOLUCIÓN DICTADA POR EL PLENO DEL INSTITUTO DE TRANSPARENCIA, ACCESO A LA INFORMACIÓN PÚBLICA Y PROTECCIÓN DE DATOS PERSONALES DEL ESTADO DE M</w:t>
      </w:r>
      <w:r w:rsidR="00C11623">
        <w:rPr>
          <w:rFonts w:ascii="Palatino Linotype" w:hAnsi="Palatino Linotype"/>
          <w:b/>
          <w:sz w:val="24"/>
          <w:szCs w:val="24"/>
        </w:rPr>
        <w:t xml:space="preserve">ÉXICO Y </w:t>
      </w:r>
      <w:r w:rsidR="00C451CE">
        <w:rPr>
          <w:rFonts w:ascii="Palatino Linotype" w:hAnsi="Palatino Linotype"/>
          <w:b/>
          <w:sz w:val="24"/>
          <w:szCs w:val="24"/>
        </w:rPr>
        <w:t>MUNICIPIOS, EN LA TERCERA</w:t>
      </w:r>
      <w:r w:rsidRPr="00B71BFC">
        <w:rPr>
          <w:rFonts w:ascii="Palatino Linotype" w:hAnsi="Palatino Linotype"/>
          <w:b/>
          <w:sz w:val="24"/>
          <w:szCs w:val="24"/>
        </w:rPr>
        <w:t xml:space="preserve"> SESIÓN </w:t>
      </w:r>
      <w:r w:rsidRPr="00563D0F">
        <w:rPr>
          <w:rFonts w:ascii="Palatino Linotype" w:hAnsi="Palatino Linotype"/>
          <w:b/>
          <w:sz w:val="24"/>
          <w:szCs w:val="24"/>
        </w:rPr>
        <w:t>DE</w:t>
      </w:r>
      <w:r>
        <w:rPr>
          <w:rFonts w:ascii="Palatino Linotype" w:hAnsi="Palatino Linotype"/>
          <w:b/>
          <w:sz w:val="24"/>
          <w:szCs w:val="24"/>
        </w:rPr>
        <w:t>L</w:t>
      </w:r>
      <w:r w:rsidRPr="00563D0F">
        <w:rPr>
          <w:rFonts w:ascii="Palatino Linotype" w:hAnsi="Palatino Linotype"/>
          <w:b/>
          <w:sz w:val="24"/>
          <w:szCs w:val="24"/>
        </w:rPr>
        <w:t xml:space="preserve"> </w:t>
      </w:r>
      <w:r w:rsidR="00C451CE">
        <w:rPr>
          <w:rFonts w:ascii="Palatino Linotype" w:hAnsi="Palatino Linotype"/>
          <w:b/>
          <w:sz w:val="24"/>
          <w:szCs w:val="24"/>
        </w:rPr>
        <w:t xml:space="preserve">VEINTITRÉS </w:t>
      </w:r>
      <w:r w:rsidR="00320BAF">
        <w:rPr>
          <w:rFonts w:ascii="Palatino Linotype" w:hAnsi="Palatino Linotype"/>
          <w:b/>
          <w:sz w:val="24"/>
          <w:szCs w:val="24"/>
        </w:rPr>
        <w:t>DE ENERO DOS MIL DIECINUEVE</w:t>
      </w:r>
      <w:r>
        <w:rPr>
          <w:rFonts w:ascii="Palatino Linotype" w:hAnsi="Palatino Linotype"/>
          <w:b/>
          <w:sz w:val="24"/>
          <w:szCs w:val="24"/>
        </w:rPr>
        <w:t>, EN EL</w:t>
      </w:r>
      <w:r w:rsidRPr="00563D0F">
        <w:rPr>
          <w:rFonts w:ascii="Palatino Linotype" w:hAnsi="Palatino Linotype"/>
          <w:b/>
          <w:sz w:val="24"/>
          <w:szCs w:val="24"/>
        </w:rPr>
        <w:t xml:space="preserve"> RECURSO DE REVISIÓN </w:t>
      </w:r>
      <w:r w:rsidR="00C451CE">
        <w:rPr>
          <w:rFonts w:ascii="Palatino Linotype" w:hAnsi="Palatino Linotype"/>
          <w:b/>
          <w:sz w:val="24"/>
          <w:szCs w:val="24"/>
        </w:rPr>
        <w:t>04221</w:t>
      </w:r>
      <w:r w:rsidR="005718F4">
        <w:rPr>
          <w:rFonts w:ascii="Palatino Linotype" w:hAnsi="Palatino Linotype"/>
          <w:b/>
          <w:sz w:val="24"/>
          <w:szCs w:val="24"/>
        </w:rPr>
        <w:t>/INFOEM/IP/RR/2018</w:t>
      </w:r>
      <w:r w:rsidR="00FD03B0">
        <w:rPr>
          <w:rFonts w:ascii="Palatino Linotype" w:hAnsi="Palatino Linotype"/>
          <w:b/>
          <w:sz w:val="24"/>
          <w:szCs w:val="24"/>
        </w:rPr>
        <w:t>.</w:t>
      </w:r>
    </w:p>
    <w:p w:rsidR="00B976C5" w:rsidRDefault="00B976C5" w:rsidP="00574532">
      <w:pPr>
        <w:spacing w:after="0" w:line="360" w:lineRule="auto"/>
        <w:jc w:val="both"/>
        <w:rPr>
          <w:rFonts w:ascii="Palatino Linotype" w:hAnsi="Palatino Linotype"/>
          <w:sz w:val="24"/>
          <w:szCs w:val="24"/>
        </w:rPr>
      </w:pPr>
    </w:p>
    <w:p w:rsidR="00683B2B" w:rsidRPr="00683B2B" w:rsidRDefault="00923BD5" w:rsidP="00683B2B">
      <w:pPr>
        <w:spacing w:after="0" w:line="360" w:lineRule="auto"/>
        <w:jc w:val="both"/>
        <w:rPr>
          <w:rFonts w:ascii="Palatino Linotype" w:hAnsi="Palatino Linotype"/>
          <w:b/>
          <w:lang w:val="es-ES_tradnl"/>
        </w:rPr>
      </w:pPr>
      <w:r w:rsidRPr="00C82C0B">
        <w:rPr>
          <w:rFonts w:ascii="Palatino Linotype" w:hAnsi="Palatino Linotype"/>
          <w:sz w:val="24"/>
          <w:szCs w:val="24"/>
        </w:rPr>
        <w:t>Con fundamento en lo dispuesto por el artículo 14, fracciones X y XI, del Reglamento del Instituto de Transparencia, Acceso a la Información Pública y Protección de Datos Person</w:t>
      </w:r>
      <w:r w:rsidR="00683B2B">
        <w:rPr>
          <w:rFonts w:ascii="Palatino Linotype" w:hAnsi="Palatino Linotype"/>
          <w:sz w:val="24"/>
          <w:szCs w:val="24"/>
        </w:rPr>
        <w:t>ales del Estado de México, , el Comisionado Javier Martínez Cruz emite</w:t>
      </w:r>
      <w:r w:rsidRPr="00C82C0B">
        <w:rPr>
          <w:rFonts w:ascii="Palatino Linotype" w:hAnsi="Palatino Linotype"/>
          <w:sz w:val="24"/>
          <w:szCs w:val="24"/>
        </w:rPr>
        <w:t xml:space="preserve"> VOTO PARTICULAR respecto a la resolución dictada en el recurso de revisión número </w:t>
      </w:r>
      <w:r w:rsidR="00683B2B">
        <w:rPr>
          <w:rFonts w:ascii="Palatino Linotype" w:hAnsi="Palatino Linotype"/>
          <w:b/>
          <w:lang w:val="es-ES_tradnl"/>
        </w:rPr>
        <w:t>04221</w:t>
      </w:r>
      <w:r w:rsidR="00DA6449" w:rsidRPr="00572030">
        <w:rPr>
          <w:rFonts w:ascii="Palatino Linotype" w:hAnsi="Palatino Linotype"/>
          <w:b/>
          <w:lang w:val="es-ES_tradnl"/>
        </w:rPr>
        <w:t>/INFOEM/IP/RR/2018</w:t>
      </w:r>
      <w:r w:rsidR="00807B02" w:rsidRPr="00807B02">
        <w:rPr>
          <w:rFonts w:ascii="Palatino Linotype" w:hAnsi="Palatino Linotype"/>
          <w:sz w:val="24"/>
          <w:szCs w:val="24"/>
        </w:rPr>
        <w:t>, pronunciada por el Pleno de este Instituto an</w:t>
      </w:r>
      <w:r w:rsidR="00C11623">
        <w:rPr>
          <w:rFonts w:ascii="Palatino Linotype" w:hAnsi="Palatino Linotype"/>
          <w:sz w:val="24"/>
          <w:szCs w:val="24"/>
        </w:rPr>
        <w:t>te el p</w:t>
      </w:r>
      <w:r w:rsidR="00DA6449">
        <w:rPr>
          <w:rFonts w:ascii="Palatino Linotype" w:hAnsi="Palatino Linotype"/>
          <w:sz w:val="24"/>
          <w:szCs w:val="24"/>
        </w:rPr>
        <w:t>royecto presentado por el</w:t>
      </w:r>
      <w:r w:rsidR="00C11623">
        <w:rPr>
          <w:rFonts w:ascii="Palatino Linotype" w:hAnsi="Palatino Linotype"/>
          <w:sz w:val="24"/>
          <w:szCs w:val="24"/>
        </w:rPr>
        <w:t xml:space="preserve"> </w:t>
      </w:r>
      <w:r w:rsidR="00807B02" w:rsidRPr="00807B02">
        <w:rPr>
          <w:rFonts w:ascii="Palatino Linotype" w:hAnsi="Palatino Linotype"/>
          <w:sz w:val="24"/>
          <w:szCs w:val="24"/>
        </w:rPr>
        <w:t xml:space="preserve"> Comisionad</w:t>
      </w:r>
      <w:r w:rsidR="00DA6449">
        <w:rPr>
          <w:rFonts w:ascii="Palatino Linotype" w:hAnsi="Palatino Linotype"/>
          <w:sz w:val="24"/>
          <w:szCs w:val="24"/>
        </w:rPr>
        <w:t xml:space="preserve">o  </w:t>
      </w:r>
      <w:r w:rsidR="00DA6449" w:rsidRPr="003D5DCE">
        <w:rPr>
          <w:rFonts w:ascii="Palatino Linotype" w:eastAsia="Calibri" w:hAnsi="Palatino Linotype" w:cs="Tahoma"/>
          <w:b/>
          <w:sz w:val="24"/>
          <w:szCs w:val="24"/>
          <w:lang w:val="es-ES_tradnl"/>
        </w:rPr>
        <w:t>Luis Gustavo Parra Noriega</w:t>
      </w:r>
      <w:r w:rsidR="00807B02" w:rsidRPr="00807B02">
        <w:rPr>
          <w:rFonts w:ascii="Palatino Linotype" w:hAnsi="Palatino Linotype"/>
          <w:sz w:val="24"/>
          <w:szCs w:val="24"/>
        </w:rPr>
        <w:t xml:space="preserve">, que es del </w:t>
      </w:r>
      <w:r w:rsidR="00807B02" w:rsidRPr="00C11623">
        <w:rPr>
          <w:rFonts w:ascii="Palatino Linotype" w:hAnsi="Palatino Linotype"/>
          <w:sz w:val="24"/>
          <w:szCs w:val="24"/>
        </w:rPr>
        <w:t xml:space="preserve">tenor siguiente: </w:t>
      </w:r>
    </w:p>
    <w:p w:rsidR="00683B2B" w:rsidRPr="006A625D" w:rsidRDefault="00B976C5" w:rsidP="006A625D">
      <w:pPr>
        <w:spacing w:line="276" w:lineRule="auto"/>
        <w:jc w:val="both"/>
        <w:rPr>
          <w:rFonts w:ascii="Palatino Linotype" w:hAnsi="Palatino Linotype" w:cs="Tahoma"/>
          <w:sz w:val="24"/>
          <w:szCs w:val="24"/>
        </w:rPr>
      </w:pPr>
      <w:r w:rsidRPr="006A625D">
        <w:rPr>
          <w:rFonts w:ascii="Palatino Linotype" w:hAnsi="Palatino Linotype"/>
          <w:sz w:val="24"/>
          <w:szCs w:val="24"/>
        </w:rPr>
        <w:t>De manera previa a la emisión del presente voto, cabe precisar  que</w:t>
      </w:r>
      <w:r w:rsidR="00DA6449" w:rsidRPr="006A625D">
        <w:rPr>
          <w:rFonts w:ascii="Palatino Linotype" w:hAnsi="Palatino Linotype"/>
          <w:sz w:val="24"/>
          <w:szCs w:val="24"/>
        </w:rPr>
        <w:t xml:space="preserve"> </w:t>
      </w:r>
      <w:r w:rsidR="00683B2B" w:rsidRPr="006A625D">
        <w:rPr>
          <w:rFonts w:ascii="Palatino Linotype" w:hAnsi="Palatino Linotype" w:cs="Tahoma"/>
          <w:sz w:val="24"/>
          <w:szCs w:val="24"/>
        </w:rPr>
        <w:t>e</w:t>
      </w:r>
      <w:r w:rsidR="00683B2B" w:rsidRPr="006A625D">
        <w:rPr>
          <w:rFonts w:ascii="Palatino Linotype" w:hAnsi="Palatino Linotype" w:cs="Tahoma"/>
          <w:sz w:val="24"/>
          <w:szCs w:val="24"/>
        </w:rPr>
        <w:t>l Particular, a través de ocho solicitudes de acceso a la información, requirió por el Sistema de Acceso a la Información Mexiquense (SAIMEX), la relación histórica del número de preguntas o reactivos aplicados en los exámenes aplicados, y en caso de no ser usados, la forma de evaluación; lo anterior, de la Maestría en Administración y las siguientes licenciaturas:</w:t>
      </w:r>
    </w:p>
    <w:p w:rsidR="00683B2B" w:rsidRPr="006A625D" w:rsidRDefault="00683B2B" w:rsidP="00114C6F">
      <w:pPr>
        <w:pStyle w:val="Prrafodelista"/>
        <w:numPr>
          <w:ilvl w:val="0"/>
          <w:numId w:val="8"/>
        </w:numPr>
        <w:ind w:right="-93"/>
        <w:jc w:val="both"/>
        <w:rPr>
          <w:rFonts w:ascii="Palatino Linotype" w:hAnsi="Palatino Linotype" w:cs="Tahoma"/>
        </w:rPr>
      </w:pPr>
      <w:r w:rsidRPr="006A625D">
        <w:rPr>
          <w:rFonts w:ascii="Palatino Linotype" w:hAnsi="Palatino Linotype" w:cs="Tahoma"/>
        </w:rPr>
        <w:t>Negocios Internacionales;</w:t>
      </w:r>
    </w:p>
    <w:p w:rsidR="00683B2B" w:rsidRPr="006A625D" w:rsidRDefault="00683B2B" w:rsidP="00114C6F">
      <w:pPr>
        <w:pStyle w:val="Prrafodelista"/>
        <w:numPr>
          <w:ilvl w:val="0"/>
          <w:numId w:val="8"/>
        </w:numPr>
        <w:ind w:right="-93"/>
        <w:jc w:val="both"/>
        <w:rPr>
          <w:rFonts w:ascii="Palatino Linotype" w:hAnsi="Palatino Linotype" w:cs="Tahoma"/>
        </w:rPr>
      </w:pPr>
      <w:r w:rsidRPr="006A625D">
        <w:rPr>
          <w:rFonts w:ascii="Palatino Linotype" w:hAnsi="Palatino Linotype" w:cs="Tahoma"/>
        </w:rPr>
        <w:t>Ingeniería Biotecnología;</w:t>
      </w:r>
    </w:p>
    <w:p w:rsidR="00683B2B" w:rsidRPr="006A625D" w:rsidRDefault="00683B2B" w:rsidP="00114C6F">
      <w:pPr>
        <w:pStyle w:val="Prrafodelista"/>
        <w:numPr>
          <w:ilvl w:val="0"/>
          <w:numId w:val="8"/>
        </w:numPr>
        <w:ind w:right="-93"/>
        <w:jc w:val="both"/>
        <w:rPr>
          <w:rFonts w:ascii="Palatino Linotype" w:hAnsi="Palatino Linotype" w:cs="Tahoma"/>
        </w:rPr>
      </w:pPr>
      <w:r w:rsidRPr="006A625D">
        <w:rPr>
          <w:rFonts w:ascii="Palatino Linotype" w:hAnsi="Palatino Linotype" w:cs="Tahoma"/>
        </w:rPr>
        <w:t xml:space="preserve">Ingeniería Informática; </w:t>
      </w:r>
    </w:p>
    <w:p w:rsidR="00683B2B" w:rsidRPr="006A625D" w:rsidRDefault="00683B2B" w:rsidP="00114C6F">
      <w:pPr>
        <w:pStyle w:val="Prrafodelista"/>
        <w:numPr>
          <w:ilvl w:val="0"/>
          <w:numId w:val="8"/>
        </w:numPr>
        <w:ind w:right="-93"/>
        <w:jc w:val="both"/>
        <w:rPr>
          <w:rFonts w:ascii="Palatino Linotype" w:hAnsi="Palatino Linotype" w:cs="Tahoma"/>
        </w:rPr>
      </w:pPr>
      <w:r w:rsidRPr="006A625D">
        <w:rPr>
          <w:rFonts w:ascii="Palatino Linotype" w:hAnsi="Palatino Linotype" w:cs="Tahoma"/>
        </w:rPr>
        <w:lastRenderedPageBreak/>
        <w:t>Ingeniería en Energía;</w:t>
      </w:r>
    </w:p>
    <w:p w:rsidR="00683B2B" w:rsidRPr="006A625D" w:rsidRDefault="00683B2B" w:rsidP="00114C6F">
      <w:pPr>
        <w:pStyle w:val="Prrafodelista"/>
        <w:numPr>
          <w:ilvl w:val="0"/>
          <w:numId w:val="8"/>
        </w:numPr>
        <w:ind w:right="-93"/>
        <w:jc w:val="both"/>
        <w:rPr>
          <w:rFonts w:ascii="Palatino Linotype" w:hAnsi="Palatino Linotype" w:cs="Tahoma"/>
        </w:rPr>
      </w:pPr>
      <w:r w:rsidRPr="006A625D">
        <w:rPr>
          <w:rFonts w:ascii="Palatino Linotype" w:hAnsi="Palatino Linotype" w:cs="Tahoma"/>
        </w:rPr>
        <w:t>Ingeniería Industrial;</w:t>
      </w:r>
    </w:p>
    <w:p w:rsidR="00683B2B" w:rsidRPr="006A625D" w:rsidRDefault="00683B2B" w:rsidP="00114C6F">
      <w:pPr>
        <w:pStyle w:val="Prrafodelista"/>
        <w:numPr>
          <w:ilvl w:val="0"/>
          <w:numId w:val="8"/>
        </w:numPr>
        <w:ind w:right="-93"/>
        <w:jc w:val="both"/>
        <w:rPr>
          <w:rFonts w:ascii="Palatino Linotype" w:hAnsi="Palatino Linotype" w:cs="Tahoma"/>
        </w:rPr>
      </w:pPr>
      <w:r w:rsidRPr="006A625D">
        <w:rPr>
          <w:rFonts w:ascii="Palatino Linotype" w:hAnsi="Palatino Linotype" w:cs="Tahoma"/>
        </w:rPr>
        <w:t>Ingeniería Mecatrónica;</w:t>
      </w:r>
    </w:p>
    <w:p w:rsidR="00683B2B" w:rsidRPr="006A625D" w:rsidRDefault="00683B2B" w:rsidP="00114C6F">
      <w:pPr>
        <w:pStyle w:val="Prrafodelista"/>
        <w:numPr>
          <w:ilvl w:val="0"/>
          <w:numId w:val="8"/>
        </w:numPr>
        <w:ind w:right="-93"/>
        <w:jc w:val="both"/>
        <w:rPr>
          <w:rFonts w:ascii="Palatino Linotype" w:hAnsi="Palatino Linotype" w:cs="Tahoma"/>
        </w:rPr>
      </w:pPr>
      <w:r w:rsidRPr="006A625D">
        <w:rPr>
          <w:rFonts w:ascii="Palatino Linotype" w:hAnsi="Palatino Linotype" w:cs="Tahoma"/>
        </w:rPr>
        <w:t>Ingeniería Mecánica Automotriz, y</w:t>
      </w:r>
    </w:p>
    <w:p w:rsidR="00683B2B" w:rsidRPr="006A625D" w:rsidRDefault="00683B2B" w:rsidP="00114C6F">
      <w:pPr>
        <w:pStyle w:val="Prrafodelista"/>
        <w:numPr>
          <w:ilvl w:val="0"/>
          <w:numId w:val="8"/>
        </w:numPr>
        <w:ind w:right="-93"/>
        <w:jc w:val="both"/>
        <w:rPr>
          <w:rFonts w:ascii="Palatino Linotype" w:hAnsi="Palatino Linotype" w:cs="Tahoma"/>
        </w:rPr>
      </w:pPr>
      <w:r w:rsidRPr="006A625D">
        <w:rPr>
          <w:rFonts w:ascii="Palatino Linotype" w:hAnsi="Palatino Linotype" w:cs="Tahoma"/>
        </w:rPr>
        <w:t>Maestría en Administración.</w:t>
      </w:r>
    </w:p>
    <w:p w:rsidR="006A625D" w:rsidRPr="006A625D" w:rsidRDefault="006A625D" w:rsidP="006A625D">
      <w:pPr>
        <w:spacing w:line="276" w:lineRule="auto"/>
        <w:ind w:right="-93"/>
        <w:jc w:val="both"/>
        <w:rPr>
          <w:rFonts w:ascii="Palatino Linotype" w:hAnsi="Palatino Linotype" w:cs="Tahoma"/>
          <w:sz w:val="24"/>
          <w:szCs w:val="24"/>
        </w:rPr>
      </w:pPr>
    </w:p>
    <w:p w:rsidR="006A625D" w:rsidRPr="006A625D" w:rsidRDefault="006A625D" w:rsidP="006A625D">
      <w:pPr>
        <w:spacing w:line="276" w:lineRule="auto"/>
        <w:ind w:right="-93"/>
        <w:jc w:val="both"/>
        <w:rPr>
          <w:rFonts w:ascii="Palatino Linotype" w:hAnsi="Palatino Linotype" w:cs="Tahoma"/>
          <w:sz w:val="24"/>
          <w:szCs w:val="24"/>
        </w:rPr>
      </w:pPr>
      <w:r w:rsidRPr="006A625D">
        <w:rPr>
          <w:rFonts w:ascii="Palatino Linotype" w:hAnsi="Palatino Linotype" w:cs="Tahoma"/>
          <w:sz w:val="24"/>
          <w:szCs w:val="24"/>
        </w:rPr>
        <w:t>En respuesta, el Sujeto Obligado, a través de las diversas unidades administrativas, precisó que contaba con los Formatos de Instrumento de Evaluación-Evidencia de Conocimiento (examen), los cuales daban cuenta de lo solicitado por el particular, mismos que son utilizados con fines académicos y administrativos que realizan los alumnos de la Universidad y que fueron implementados en el Sistema de Gestión de la Calidad de la Universidad Politécnica del Valle de Toluca</w:t>
      </w:r>
    </w:p>
    <w:p w:rsidR="00683B2B" w:rsidRDefault="005672E4" w:rsidP="00DA6449">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5672E4">
        <w:rPr>
          <w:rFonts w:ascii="Palatino Linotype" w:hAnsi="Palatino Linotype"/>
        </w:rPr>
        <w:t>Además, precisó que la información contiene datos personales (nombre del alumno, matrícula escolar, número de lista, trayectoria académica y calificación), al hacer identificada o identificable a los estudiantes; por lo que, no se podían entregar sin el consentimiento de estos, ya que los alumnos no ejercen recursos públicos.</w:t>
      </w:r>
    </w:p>
    <w:p w:rsidR="00683B2B" w:rsidRDefault="005672E4" w:rsidP="00DA6449">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5672E4">
        <w:rPr>
          <w:rFonts w:ascii="Palatino Linotype" w:hAnsi="Palatino Linotype"/>
        </w:rPr>
        <w:t>Por otra parte, señaló que proporcionar los exámenes aplicados, en versión pública correspondería a un cúmulo exorbitante de información, y una carga extra de trabajo, lo que causaría que la unidad administrativa deje de hacer actividades sustanciales para dedicarse a la búsqueda, separación y clasificación de la documentación.</w:t>
      </w:r>
    </w:p>
    <w:p w:rsidR="00683B2B" w:rsidRDefault="005672E4" w:rsidP="00DA6449">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5672E4">
        <w:rPr>
          <w:rFonts w:ascii="Palatino Linotype" w:hAnsi="Palatino Linotype"/>
        </w:rPr>
        <w:t xml:space="preserve">Asimismo, aclaró que los Formatos de Instrumento de Evaluación-Evidencia de Conocimiento contenían los siguientes datos de los alumnos: Nombre, firma, trayectoria educativa, calificaciones, número de lista y matrícula, e inclusive la </w:t>
      </w:r>
      <w:r w:rsidRPr="005672E4">
        <w:rPr>
          <w:rFonts w:ascii="Palatino Linotype" w:hAnsi="Palatino Linotype"/>
        </w:rPr>
        <w:lastRenderedPageBreak/>
        <w:t>escritura; por lo que, eran clasificados</w:t>
      </w:r>
      <w:r>
        <w:rPr>
          <w:rFonts w:ascii="Palatino Linotype" w:hAnsi="Palatino Linotype"/>
        </w:rPr>
        <w:t>.</w:t>
      </w:r>
    </w:p>
    <w:p w:rsidR="005672E4" w:rsidRDefault="005672E4" w:rsidP="005672E4">
      <w:pPr>
        <w:pStyle w:val="Prrafodelista"/>
        <w:widowControl w:val="0"/>
        <w:autoSpaceDE w:val="0"/>
        <w:autoSpaceDN w:val="0"/>
        <w:adjustRightInd w:val="0"/>
        <w:spacing w:before="240" w:after="240" w:line="360" w:lineRule="auto"/>
        <w:ind w:left="0"/>
        <w:contextualSpacing w:val="0"/>
        <w:jc w:val="both"/>
        <w:rPr>
          <w:rFonts w:ascii="Palatino Linotype" w:hAnsi="Palatino Linotype" w:cs="Tahoma"/>
        </w:rPr>
      </w:pPr>
      <w:r w:rsidRPr="005672E4">
        <w:rPr>
          <w:rFonts w:ascii="Palatino Linotype" w:hAnsi="Palatino Linotype" w:cs="Tahoma"/>
        </w:rPr>
        <w:t xml:space="preserve">Inconforme con lo anterior, el ahora Recurrente se inconformó con la entrega de información que no corresponde con lo solicitado, toda vez que precisó que la información proporcionada estaba incorrecta, ya que no había solicitado los exámenes; </w:t>
      </w:r>
      <w:r w:rsidRPr="005672E4">
        <w:rPr>
          <w:rFonts w:ascii="Palatino Linotype" w:hAnsi="Palatino Linotype" w:cs="Tahoma"/>
          <w:iCs/>
          <w:lang w:eastAsia="es-ES_tradnl"/>
        </w:rPr>
        <w:t xml:space="preserve">lo cual constituye una causal de procedencia del Recurso de Revisión, en términos del artículo 179, fracción VI, de la Ley de Transparencia y Acceso a la Información Pública del Estado de México y Municipios. </w:t>
      </w:r>
      <w:r w:rsidRPr="005672E4">
        <w:rPr>
          <w:rFonts w:ascii="Palatino Linotype" w:hAnsi="Palatino Linotype" w:cs="Tahoma"/>
        </w:rPr>
        <w:t>Así las cosas, una vez admitidos y notificados los recursos de revisión a las partes, la Universidad Politécnica del Valle de Toluca ratificó su respuesta, además aclaró que el Derecho de Acceso a la Información, no implicaba el procesamiento de la misma, presentarla conforme al interés del ahora Recurrente; asimismo, tampoco estaba obligado a generarla, resumirla, efectuar cálculos o efectuar investigaciones</w:t>
      </w:r>
      <w:r>
        <w:rPr>
          <w:rFonts w:ascii="Palatino Linotype" w:hAnsi="Palatino Linotype" w:cs="Tahoma"/>
        </w:rPr>
        <w:t>.</w:t>
      </w:r>
    </w:p>
    <w:p w:rsidR="009667C0" w:rsidRDefault="005672E4" w:rsidP="005672E4">
      <w:pPr>
        <w:pStyle w:val="Prrafodelista"/>
        <w:widowControl w:val="0"/>
        <w:autoSpaceDE w:val="0"/>
        <w:autoSpaceDN w:val="0"/>
        <w:adjustRightInd w:val="0"/>
        <w:spacing w:before="240" w:after="240" w:line="360" w:lineRule="auto"/>
        <w:ind w:left="0"/>
        <w:contextualSpacing w:val="0"/>
        <w:jc w:val="both"/>
        <w:rPr>
          <w:rFonts w:ascii="Palatino Linotype" w:hAnsi="Palatino Linotype" w:cs="Tahoma"/>
          <w:lang w:val="es-MX"/>
        </w:rPr>
      </w:pPr>
      <w:r>
        <w:rPr>
          <w:rFonts w:ascii="Palatino Linotype" w:hAnsi="Palatino Linotype" w:cs="Tahoma"/>
        </w:rPr>
        <w:t>Finalmente, la ponencia en los resolutivos del recurso de revisión, preciso los siguientes parámetros</w:t>
      </w:r>
      <w:r>
        <w:rPr>
          <w:rFonts w:ascii="Palatino Linotype" w:hAnsi="Palatino Linotype" w:cs="Tahoma"/>
          <w:lang w:val="es-MX"/>
        </w:rPr>
        <w:t>: “</w:t>
      </w:r>
      <w:r w:rsidRPr="0035068A">
        <w:rPr>
          <w:rFonts w:ascii="Palatino Linotype" w:hAnsi="Palatino Linotype" w:cs="Tahoma"/>
          <w:i/>
          <w:lang w:val="es-MX"/>
        </w:rPr>
        <w:t>Entregue el acuerdo del Comité de Transparencia, donde confirme la clasificación, de manera fundada y motivada, las Evide</w:t>
      </w:r>
      <w:r w:rsidR="00A436F1" w:rsidRPr="0035068A">
        <w:rPr>
          <w:rFonts w:ascii="Palatino Linotype" w:hAnsi="Palatino Linotype" w:cs="Tahoma"/>
          <w:i/>
          <w:lang w:val="es-MX"/>
        </w:rPr>
        <w:t>ncias de Conocimiento de las carreras y horarios</w:t>
      </w:r>
      <w:r w:rsidR="0035068A">
        <w:rPr>
          <w:rFonts w:ascii="Palatino Linotype" w:hAnsi="Palatino Linotype" w:cs="Tahoma"/>
          <w:i/>
          <w:lang w:val="es-MX"/>
        </w:rPr>
        <w:t>…</w:t>
      </w:r>
    </w:p>
    <w:p w:rsidR="009667C0" w:rsidRDefault="00114C6F" w:rsidP="005672E4">
      <w:pPr>
        <w:pStyle w:val="Prrafodelista"/>
        <w:widowControl w:val="0"/>
        <w:autoSpaceDE w:val="0"/>
        <w:autoSpaceDN w:val="0"/>
        <w:adjustRightInd w:val="0"/>
        <w:spacing w:before="240" w:after="240" w:line="360" w:lineRule="auto"/>
        <w:ind w:left="0"/>
        <w:contextualSpacing w:val="0"/>
        <w:jc w:val="both"/>
        <w:rPr>
          <w:rFonts w:ascii="Palatino Linotype" w:hAnsi="Palatino Linotype" w:cs="Tahoma"/>
          <w:lang w:val="es-MX"/>
        </w:rPr>
      </w:pPr>
      <w:r w:rsidRPr="007913E6">
        <w:rPr>
          <w:rFonts w:ascii="Palatino Linotype" w:hAnsi="Palatino Linotype"/>
        </w:rPr>
        <w:t xml:space="preserve">De lo anterior, debe precisarse que si bien se comparte en términos generales el sentido de la resolución, empero a consideración del suscrito </w:t>
      </w:r>
      <w:r w:rsidRPr="007913E6">
        <w:rPr>
          <w:rFonts w:ascii="Palatino Linotype" w:hAnsi="Palatino Linotype" w:cs="Arial"/>
          <w:bCs/>
        </w:rPr>
        <w:t xml:space="preserve">en el resolutivo </w:t>
      </w:r>
      <w:r>
        <w:rPr>
          <w:rFonts w:ascii="Palatino Linotype" w:hAnsi="Palatino Linotype" w:cs="Arial"/>
          <w:bCs/>
        </w:rPr>
        <w:t>CUARTO</w:t>
      </w:r>
      <w:r w:rsidRPr="007913E6">
        <w:rPr>
          <w:rFonts w:ascii="Palatino Linotype" w:hAnsi="Palatino Linotype" w:cs="Arial"/>
          <w:bCs/>
        </w:rPr>
        <w:t xml:space="preserve"> </w:t>
      </w:r>
      <w:r w:rsidRPr="007913E6">
        <w:rPr>
          <w:rFonts w:ascii="Palatino Linotype" w:hAnsi="Palatino Linotype"/>
          <w:color w:val="222222"/>
          <w:lang w:eastAsia="es-ES_tradnl"/>
        </w:rPr>
        <w:t xml:space="preserve">debió  fundamentarse en lo previsto en los artículos 159 y 160 de la Ley General de Transparencia y Acceso a la Información Pública, es decir, se le debió notificar al particular que podía </w:t>
      </w:r>
      <w:r w:rsidRPr="007913E6">
        <w:rPr>
          <w:rFonts w:ascii="Palatino Linotype" w:hAnsi="Palatino Linotype"/>
        </w:rPr>
        <w:t xml:space="preserve">impugnar la resolución vía recurso de </w:t>
      </w:r>
      <w:r w:rsidRPr="007913E6">
        <w:rPr>
          <w:rFonts w:ascii="Palatino Linotype" w:hAnsi="Palatino Linotype"/>
        </w:rPr>
        <w:lastRenderedPageBreak/>
        <w:t>inconformidad ante el Instituto Nacional de Transparencia, Acceso a la Información y Protección de Datos Personales</w:t>
      </w:r>
      <w:r>
        <w:rPr>
          <w:rFonts w:ascii="Palatino Linotype" w:hAnsi="Palatino Linotype"/>
        </w:rPr>
        <w:t>.</w:t>
      </w:r>
    </w:p>
    <w:p w:rsidR="00114C6F" w:rsidRPr="0072797F" w:rsidRDefault="00114C6F" w:rsidP="00114C6F">
      <w:pPr>
        <w:spacing w:before="240" w:line="360" w:lineRule="auto"/>
        <w:contextualSpacing/>
        <w:jc w:val="both"/>
        <w:rPr>
          <w:rFonts w:ascii="Palatino Linotype" w:hAnsi="Palatino Linotype"/>
          <w:color w:val="222222"/>
          <w:sz w:val="24"/>
          <w:szCs w:val="24"/>
          <w:lang w:val="es-ES" w:eastAsia="es-ES_tradnl"/>
        </w:rPr>
      </w:pPr>
      <w:r w:rsidRPr="007913E6">
        <w:rPr>
          <w:rFonts w:ascii="Palatino Linotype" w:hAnsi="Palatino Linotype"/>
          <w:color w:val="222222"/>
          <w:sz w:val="24"/>
          <w:szCs w:val="24"/>
          <w:lang w:eastAsia="es-ES_tradnl"/>
        </w:rPr>
        <w:t xml:space="preserve">Lo anterior es así toda vez que no se debe perder de vista que </w:t>
      </w:r>
      <w:r>
        <w:rPr>
          <w:rFonts w:ascii="Palatino Linotype" w:hAnsi="Palatino Linotype"/>
          <w:color w:val="222222"/>
          <w:sz w:val="24"/>
          <w:szCs w:val="24"/>
          <w:lang w:eastAsia="es-ES_tradnl"/>
        </w:rPr>
        <w:t xml:space="preserve">el impetrante en el presente asunto requiere </w:t>
      </w:r>
      <w:r w:rsidRPr="00480AC3">
        <w:rPr>
          <w:rFonts w:ascii="Palatino Linotype" w:hAnsi="Palatino Linotype"/>
          <w:color w:val="222222"/>
          <w:sz w:val="24"/>
          <w:szCs w:val="24"/>
          <w:lang w:val="es-ES" w:eastAsia="es-ES_tradnl"/>
        </w:rPr>
        <w:t xml:space="preserve">conocer </w:t>
      </w:r>
      <w:r>
        <w:rPr>
          <w:rFonts w:ascii="Palatino Linotype" w:hAnsi="Palatino Linotype"/>
          <w:color w:val="222222"/>
          <w:sz w:val="24"/>
          <w:szCs w:val="24"/>
          <w:lang w:val="es-ES" w:eastAsia="es-ES_tradnl"/>
        </w:rPr>
        <w:t xml:space="preserve"> los exámenes, </w:t>
      </w:r>
      <w:r>
        <w:rPr>
          <w:rFonts w:ascii="Palatino Linotype" w:hAnsi="Palatino Linotype"/>
          <w:color w:val="222222"/>
          <w:sz w:val="24"/>
          <w:szCs w:val="24"/>
          <w:lang w:val="es-ES" w:eastAsia="es-ES_tradnl"/>
        </w:rPr>
        <w:t xml:space="preserve">por el cual </w:t>
      </w:r>
      <w:r w:rsidRPr="00480AC3">
        <w:rPr>
          <w:rFonts w:ascii="Palatino Linotype" w:hAnsi="Palatino Linotype"/>
          <w:b/>
          <w:color w:val="222222"/>
          <w:sz w:val="24"/>
          <w:szCs w:val="24"/>
          <w:lang w:val="es-ES" w:eastAsia="es-ES_tradnl"/>
        </w:rPr>
        <w:t>EL SUJETO OBLIGADO,</w:t>
      </w:r>
      <w:r w:rsidRPr="00480AC3">
        <w:rPr>
          <w:rFonts w:ascii="Palatino Linotype" w:hAnsi="Palatino Linotype"/>
          <w:color w:val="222222"/>
          <w:sz w:val="24"/>
          <w:szCs w:val="24"/>
          <w:lang w:val="es-ES" w:eastAsia="es-ES_tradnl"/>
        </w:rPr>
        <w:t xml:space="preserve"> debió someter a consideración del Comité de Transparencia la clasificación como confidencial y no sólo a limitarse a señalar que era información considerada como dato personal, ello en virtud de que los actos de autoridad se encuentran constreñidos a fundamentar y motivar sus determinaciones e</w:t>
      </w:r>
      <w:r>
        <w:rPr>
          <w:rFonts w:ascii="Palatino Linotype" w:hAnsi="Palatino Linotype"/>
          <w:color w:val="222222"/>
          <w:sz w:val="24"/>
          <w:szCs w:val="24"/>
          <w:lang w:val="es-ES" w:eastAsia="es-ES_tradnl"/>
        </w:rPr>
        <w:t>n un ejercicio de pleno derecho, lo anterior conforme a lo establecido</w:t>
      </w:r>
      <w:r w:rsidRPr="0072797F">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en </w:t>
      </w:r>
      <w:r w:rsidRPr="0072797F">
        <w:rPr>
          <w:rFonts w:ascii="Palatino Linotype" w:hAnsi="Palatino Linotype"/>
          <w:color w:val="222222"/>
          <w:sz w:val="24"/>
          <w:szCs w:val="24"/>
          <w:lang w:val="es-ES" w:eastAsia="es-ES_tradnl"/>
        </w:rPr>
        <w:t>los artículos 122, 124, fracción II, 130, 131, 132, 133, 135, 143, fracción I, 147, 148 y 149 de la de la Ley de Transparencia y Acceso a la Información Pública del Estado de México y Municipios</w:t>
      </w:r>
      <w:r w:rsidRPr="007913E6">
        <w:rPr>
          <w:rFonts w:ascii="Palatino Linotype" w:hAnsi="Palatino Linotype" w:cs="Arial"/>
          <w:sz w:val="24"/>
          <w:szCs w:val="24"/>
        </w:rPr>
        <w:t>, con lo anterior a consideración del suscrito se está confirmando el acuerdo de clasificación correspondiente, motivo por el cual, a partir de la interpretación</w:t>
      </w:r>
      <w:r w:rsidRPr="007913E6">
        <w:rPr>
          <w:rStyle w:val="Refdenotaalpie"/>
          <w:rFonts w:ascii="Palatino Linotype" w:hAnsi="Palatino Linotype" w:cs="Arial"/>
          <w:sz w:val="24"/>
          <w:szCs w:val="24"/>
        </w:rPr>
        <w:footnoteReference w:id="1"/>
      </w:r>
      <w:r w:rsidRPr="007913E6">
        <w:rPr>
          <w:rFonts w:ascii="Palatino Linotype" w:hAnsi="Palatino Linotype" w:cs="Arial"/>
          <w:sz w:val="24"/>
          <w:szCs w:val="24"/>
        </w:rPr>
        <w:t xml:space="preserve"> a los </w:t>
      </w:r>
      <w:r w:rsidRPr="007913E6">
        <w:rPr>
          <w:rFonts w:ascii="Palatino Linotype" w:hAnsi="Palatino Linotype" w:cs="Arial"/>
          <w:sz w:val="24"/>
          <w:szCs w:val="24"/>
        </w:rPr>
        <w:lastRenderedPageBreak/>
        <w:t>artículos 159 y 160 de la Ley General de Transparencia y Acceso a la Información Pública que son de la literalidad siguiente:</w:t>
      </w:r>
    </w:p>
    <w:p w:rsidR="00114C6F" w:rsidRPr="007913E6" w:rsidRDefault="00114C6F" w:rsidP="00114C6F">
      <w:pPr>
        <w:spacing w:line="240" w:lineRule="auto"/>
        <w:ind w:left="851" w:right="902"/>
        <w:jc w:val="both"/>
        <w:rPr>
          <w:rFonts w:ascii="Palatino Linotype" w:hAnsi="Palatino Linotype" w:cs="Arial"/>
          <w:i/>
        </w:rPr>
      </w:pPr>
      <w:r w:rsidRPr="007913E6">
        <w:rPr>
          <w:rFonts w:ascii="Palatino Linotype" w:hAnsi="Palatino Linotype" w:cs="Arial"/>
          <w:b/>
          <w:i/>
        </w:rPr>
        <w:t xml:space="preserve">“Artículo 159. </w:t>
      </w:r>
      <w:r w:rsidRPr="007913E6">
        <w:rPr>
          <w:rFonts w:ascii="Palatino Linotype" w:hAnsi="Palatino Linotype" w:cs="Arial"/>
          <w:b/>
          <w:i/>
          <w:u w:val="single"/>
        </w:rPr>
        <w:t>Tratándose de las resoluciones a los recursos de revisión de los Organismos garantes de las Entidades Federativas, los particulares podrán optar por acudir ante el Instituto</w:t>
      </w:r>
      <w:r w:rsidRPr="007913E6">
        <w:rPr>
          <w:rFonts w:ascii="Palatino Linotype" w:hAnsi="Palatino Linotype" w:cs="Arial"/>
          <w:i/>
        </w:rPr>
        <w:t xml:space="preserve"> o ante el Poder Judicial de la Federación.”</w:t>
      </w:r>
    </w:p>
    <w:p w:rsidR="00114C6F" w:rsidRPr="007913E6" w:rsidRDefault="00114C6F" w:rsidP="00114C6F">
      <w:pPr>
        <w:spacing w:line="240" w:lineRule="auto"/>
        <w:ind w:left="851" w:right="902"/>
        <w:jc w:val="both"/>
        <w:rPr>
          <w:rFonts w:ascii="Palatino Linotype" w:hAnsi="Palatino Linotype" w:cs="Arial"/>
          <w:i/>
        </w:rPr>
      </w:pPr>
      <w:r w:rsidRPr="007913E6">
        <w:rPr>
          <w:rFonts w:ascii="Palatino Linotype" w:hAnsi="Palatino Linotype" w:cs="Arial"/>
          <w:b/>
          <w:i/>
        </w:rPr>
        <w:t>“Artículo 160.</w:t>
      </w:r>
      <w:r w:rsidRPr="007913E6">
        <w:rPr>
          <w:rFonts w:ascii="Palatino Linotype" w:hAnsi="Palatino Linotype" w:cs="Arial"/>
          <w:i/>
        </w:rPr>
        <w:t xml:space="preserve"> El recurso de inconformidad procede contra las resoluciones emitidas por los Organismos garantes de las Entidades Federativas que:</w:t>
      </w:r>
    </w:p>
    <w:p w:rsidR="00114C6F" w:rsidRPr="007913E6" w:rsidRDefault="00114C6F" w:rsidP="00114C6F">
      <w:pPr>
        <w:spacing w:line="240" w:lineRule="auto"/>
        <w:ind w:left="851" w:right="902"/>
        <w:jc w:val="both"/>
        <w:rPr>
          <w:rFonts w:ascii="Palatino Linotype" w:hAnsi="Palatino Linotype" w:cs="Arial"/>
          <w:i/>
        </w:rPr>
      </w:pPr>
      <w:r w:rsidRPr="007913E6">
        <w:rPr>
          <w:rFonts w:ascii="Palatino Linotype" w:hAnsi="Palatino Linotype" w:cs="Arial"/>
          <w:b/>
          <w:i/>
        </w:rPr>
        <w:t>I.</w:t>
      </w:r>
      <w:r w:rsidRPr="007913E6">
        <w:rPr>
          <w:rFonts w:ascii="Palatino Linotype" w:hAnsi="Palatino Linotype" w:cs="Arial"/>
          <w:i/>
        </w:rPr>
        <w:t xml:space="preserve"> </w:t>
      </w:r>
      <w:r w:rsidRPr="007913E6">
        <w:rPr>
          <w:rFonts w:ascii="Palatino Linotype" w:hAnsi="Palatino Linotype" w:cs="Arial"/>
          <w:b/>
          <w:i/>
          <w:u w:val="single"/>
        </w:rPr>
        <w:t>Confirmen</w:t>
      </w:r>
      <w:r w:rsidRPr="007913E6">
        <w:rPr>
          <w:rFonts w:ascii="Palatino Linotype" w:hAnsi="Palatino Linotype" w:cs="Arial"/>
          <w:i/>
        </w:rPr>
        <w:t xml:space="preserve"> o modifiquen </w:t>
      </w:r>
      <w:r w:rsidRPr="007913E6">
        <w:rPr>
          <w:rFonts w:ascii="Palatino Linotype" w:hAnsi="Palatino Linotype" w:cs="Arial"/>
          <w:b/>
          <w:i/>
          <w:u w:val="single"/>
        </w:rPr>
        <w:t>la clasificación de la información</w:t>
      </w:r>
      <w:r w:rsidRPr="007913E6">
        <w:rPr>
          <w:rFonts w:ascii="Palatino Linotype" w:hAnsi="Palatino Linotype" w:cs="Arial"/>
          <w:i/>
        </w:rPr>
        <w:t>, (…)”</w:t>
      </w:r>
    </w:p>
    <w:p w:rsidR="00114C6F" w:rsidRPr="00114C6F" w:rsidRDefault="00114C6F" w:rsidP="00114C6F">
      <w:pPr>
        <w:spacing w:line="240" w:lineRule="auto"/>
        <w:ind w:left="851" w:right="902"/>
        <w:jc w:val="both"/>
        <w:rPr>
          <w:rFonts w:ascii="Palatino Linotype" w:hAnsi="Palatino Linotype" w:cs="Arial"/>
          <w:i/>
        </w:rPr>
      </w:pPr>
      <w:r w:rsidRPr="007913E6">
        <w:rPr>
          <w:rFonts w:ascii="Palatino Linotype" w:hAnsi="Palatino Linotype" w:cs="Arial"/>
          <w:i/>
        </w:rPr>
        <w:t>Énfasis añadido.</w:t>
      </w:r>
    </w:p>
    <w:p w:rsidR="00114C6F" w:rsidRPr="00114C6F" w:rsidRDefault="00114C6F" w:rsidP="005672E4">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7913E6">
        <w:rPr>
          <w:rFonts w:ascii="Palatino Linotype" w:hAnsi="Palatino Linotype" w:cs="Arial"/>
        </w:rPr>
        <w:t xml:space="preserve">Debió considerarse </w:t>
      </w:r>
      <w:r w:rsidRPr="007913E6">
        <w:rPr>
          <w:rFonts w:ascii="Palatino Linotype" w:hAnsi="Palatino Linotype"/>
        </w:rPr>
        <w:t xml:space="preserve">notificar a la particular que podía acudir ante el Instituto Nacional de Transparencia, Acceso a la Información y Protección de Datos Personales (INAI) o ante el Poder Judicial de la Federación para interponer recurso de inconformidad, </w:t>
      </w:r>
      <w:r w:rsidRPr="007913E6">
        <w:rPr>
          <w:rFonts w:ascii="Palatino Linotype" w:hAnsi="Palatino Linotype" w:cs="Arial"/>
        </w:rPr>
        <w:t>favoreciendo con ello lo previsto en el artículo 1</w:t>
      </w:r>
      <w:r w:rsidRPr="007913E6">
        <w:rPr>
          <w:rStyle w:val="Refdenotaalpie"/>
          <w:rFonts w:ascii="Palatino Linotype" w:hAnsi="Palatino Linotype" w:cs="Arial"/>
        </w:rPr>
        <w:footnoteReference w:id="2"/>
      </w:r>
      <w:r w:rsidRPr="007913E6">
        <w:rPr>
          <w:rFonts w:ascii="Palatino Linotype" w:hAnsi="Palatino Linotype" w:cs="Arial"/>
        </w:rPr>
        <w:t xml:space="preserve"> de la Constitución</w:t>
      </w:r>
      <w:r>
        <w:rPr>
          <w:rFonts w:ascii="Palatino Linotype" w:hAnsi="Palatino Linotype" w:cs="Arial"/>
        </w:rPr>
        <w:t>.</w:t>
      </w:r>
    </w:p>
    <w:p w:rsidR="009667C0" w:rsidRDefault="00114C6F" w:rsidP="005672E4">
      <w:pPr>
        <w:pStyle w:val="Prrafodelista"/>
        <w:widowControl w:val="0"/>
        <w:autoSpaceDE w:val="0"/>
        <w:autoSpaceDN w:val="0"/>
        <w:adjustRightInd w:val="0"/>
        <w:spacing w:before="240" w:after="240" w:line="360" w:lineRule="auto"/>
        <w:ind w:left="0"/>
        <w:contextualSpacing w:val="0"/>
        <w:jc w:val="both"/>
        <w:rPr>
          <w:rFonts w:ascii="Palatino Linotype" w:hAnsi="Palatino Linotype" w:cs="Tahoma"/>
          <w:lang w:val="es-MX"/>
        </w:rPr>
      </w:pPr>
      <w:r w:rsidRPr="007913E6">
        <w:rPr>
          <w:rFonts w:ascii="Palatino Linotype" w:hAnsi="Palatino Linotype"/>
        </w:rPr>
        <w:t>En este sentido y para abundar en el tema conviene precisar que los particulares podrán interponer recurso de inconformidad ante el INAI o ante el Poder Judicial de la Federación dentro de los quince días posteriores a que se tuvo conocimiento de la resolución mediante el sistema electrónico que para tales efectos haya dispuesto el INAI o por escrito</w:t>
      </w:r>
      <w:r>
        <w:rPr>
          <w:rFonts w:ascii="Palatino Linotype" w:hAnsi="Palatino Linotype"/>
        </w:rPr>
        <w:t>.</w:t>
      </w:r>
    </w:p>
    <w:p w:rsidR="00114C6F" w:rsidRPr="007913E6" w:rsidRDefault="00A436F1" w:rsidP="00114C6F">
      <w:pPr>
        <w:spacing w:before="240" w:after="240" w:line="360" w:lineRule="auto"/>
        <w:jc w:val="both"/>
        <w:rPr>
          <w:rFonts w:ascii="Palatino Linotype" w:hAnsi="Palatino Linotype"/>
          <w:sz w:val="24"/>
          <w:szCs w:val="24"/>
        </w:rPr>
      </w:pPr>
      <w:r>
        <w:rPr>
          <w:rFonts w:ascii="Palatino Linotype" w:hAnsi="Palatino Linotype" w:cs="Tahoma"/>
        </w:rPr>
        <w:t xml:space="preserve"> </w:t>
      </w:r>
      <w:r w:rsidR="00114C6F" w:rsidRPr="007913E6">
        <w:rPr>
          <w:rFonts w:ascii="Palatino Linotype" w:hAnsi="Palatino Linotype"/>
          <w:sz w:val="24"/>
          <w:szCs w:val="24"/>
        </w:rPr>
        <w:t>Cabe considerar, que también se podrá presentar por escrito ante este Instituto, instancia que a su vez tiene la obligación de remitirlo al día siguiente de su recepción al Organismo Garante de la Entidad Federativa, acompañado de la resolución impugnada.</w:t>
      </w:r>
    </w:p>
    <w:p w:rsidR="00114C6F" w:rsidRPr="007913E6" w:rsidRDefault="00114C6F" w:rsidP="00114C6F">
      <w:pPr>
        <w:spacing w:before="240" w:after="120" w:line="360" w:lineRule="auto"/>
        <w:jc w:val="both"/>
        <w:rPr>
          <w:rFonts w:ascii="Palatino Linotype" w:hAnsi="Palatino Linotype"/>
          <w:sz w:val="24"/>
          <w:szCs w:val="24"/>
        </w:rPr>
      </w:pPr>
      <w:r w:rsidRPr="007913E6">
        <w:rPr>
          <w:rFonts w:ascii="Palatino Linotype" w:hAnsi="Palatino Linotype"/>
          <w:sz w:val="24"/>
          <w:szCs w:val="24"/>
        </w:rPr>
        <w:t>Recurso de inconformidad, que deberá contener lo dispuesto en el artículo 162 de la Ley General de referencia, que reza de la siguiente forma:</w:t>
      </w:r>
    </w:p>
    <w:p w:rsidR="00114C6F" w:rsidRDefault="00114C6F" w:rsidP="00114C6F">
      <w:pPr>
        <w:ind w:left="851" w:right="902"/>
        <w:jc w:val="both"/>
        <w:rPr>
          <w:rFonts w:ascii="Palatino Linotype" w:hAnsi="Palatino Linotype"/>
          <w:b/>
          <w:i/>
        </w:rPr>
      </w:pPr>
    </w:p>
    <w:p w:rsidR="00114C6F" w:rsidRPr="007913E6" w:rsidRDefault="00114C6F" w:rsidP="00114C6F">
      <w:pPr>
        <w:spacing w:line="240" w:lineRule="auto"/>
        <w:ind w:left="851" w:right="902"/>
        <w:jc w:val="both"/>
        <w:rPr>
          <w:rFonts w:ascii="Palatino Linotype" w:hAnsi="Palatino Linotype"/>
          <w:i/>
        </w:rPr>
      </w:pPr>
      <w:r w:rsidRPr="007913E6">
        <w:rPr>
          <w:rFonts w:ascii="Palatino Linotype" w:hAnsi="Palatino Linotype"/>
          <w:b/>
          <w:i/>
        </w:rPr>
        <w:t>“Artículo 162.</w:t>
      </w:r>
      <w:r w:rsidRPr="007913E6">
        <w:rPr>
          <w:rFonts w:ascii="Palatino Linotype" w:hAnsi="Palatino Linotype"/>
          <w:i/>
        </w:rPr>
        <w:t xml:space="preserve"> El recurso de inconformidad deberá contener:  </w:t>
      </w:r>
    </w:p>
    <w:p w:rsidR="00114C6F" w:rsidRPr="007913E6" w:rsidRDefault="00114C6F" w:rsidP="00114C6F">
      <w:pPr>
        <w:spacing w:line="240" w:lineRule="auto"/>
        <w:ind w:left="1134" w:right="902"/>
        <w:jc w:val="both"/>
        <w:rPr>
          <w:rFonts w:ascii="Palatino Linotype" w:hAnsi="Palatino Linotype"/>
          <w:i/>
        </w:rPr>
      </w:pPr>
      <w:r w:rsidRPr="007913E6">
        <w:rPr>
          <w:rFonts w:ascii="Palatino Linotype" w:hAnsi="Palatino Linotype"/>
          <w:i/>
        </w:rPr>
        <w:t xml:space="preserve">I. El sujeto obligado ante el cual se presentó la solicitud;  </w:t>
      </w:r>
    </w:p>
    <w:p w:rsidR="00114C6F" w:rsidRPr="007913E6" w:rsidRDefault="00114C6F" w:rsidP="00114C6F">
      <w:pPr>
        <w:spacing w:line="240" w:lineRule="auto"/>
        <w:ind w:left="1134" w:right="902"/>
        <w:jc w:val="both"/>
        <w:rPr>
          <w:rFonts w:ascii="Palatino Linotype" w:hAnsi="Palatino Linotype"/>
          <w:i/>
        </w:rPr>
      </w:pPr>
      <w:r w:rsidRPr="007913E6">
        <w:rPr>
          <w:rFonts w:ascii="Palatino Linotype" w:hAnsi="Palatino Linotype"/>
          <w:i/>
        </w:rPr>
        <w:t xml:space="preserve">II. El número de la resolución del recurso de revisión de la resolución impugnada;  </w:t>
      </w:r>
    </w:p>
    <w:p w:rsidR="00114C6F" w:rsidRPr="007913E6" w:rsidRDefault="00114C6F" w:rsidP="00114C6F">
      <w:pPr>
        <w:spacing w:line="240" w:lineRule="auto"/>
        <w:ind w:left="1134" w:right="902"/>
        <w:jc w:val="both"/>
        <w:rPr>
          <w:rFonts w:ascii="Palatino Linotype" w:hAnsi="Palatino Linotype"/>
          <w:i/>
        </w:rPr>
      </w:pPr>
      <w:r w:rsidRPr="007913E6">
        <w:rPr>
          <w:rFonts w:ascii="Palatino Linotype" w:hAnsi="Palatino Linotype"/>
          <w:i/>
        </w:rPr>
        <w:t xml:space="preserve">III. El organismo garante que emitió la resolución que se impugna;  </w:t>
      </w:r>
    </w:p>
    <w:p w:rsidR="00114C6F" w:rsidRPr="007913E6" w:rsidRDefault="00114C6F" w:rsidP="00114C6F">
      <w:pPr>
        <w:spacing w:line="240" w:lineRule="auto"/>
        <w:ind w:left="1134" w:right="902"/>
        <w:jc w:val="both"/>
        <w:rPr>
          <w:rFonts w:ascii="Palatino Linotype" w:hAnsi="Palatino Linotype"/>
          <w:i/>
        </w:rPr>
      </w:pPr>
      <w:r w:rsidRPr="007913E6">
        <w:rPr>
          <w:rFonts w:ascii="Palatino Linotype" w:hAnsi="Palatino Linotype"/>
          <w:i/>
        </w:rPr>
        <w:lastRenderedPageBreak/>
        <w:t xml:space="preserve">IV. El nombre del inconforme y, en su caso, del tercero interesado, así como las correspondientes direcciones o medios para recibir notificaciones;  </w:t>
      </w:r>
    </w:p>
    <w:p w:rsidR="00114C6F" w:rsidRPr="007913E6" w:rsidRDefault="00114C6F" w:rsidP="00114C6F">
      <w:pPr>
        <w:spacing w:line="240" w:lineRule="auto"/>
        <w:ind w:left="1134" w:right="902"/>
        <w:jc w:val="both"/>
        <w:rPr>
          <w:rFonts w:ascii="Palatino Linotype" w:hAnsi="Palatino Linotype"/>
          <w:i/>
        </w:rPr>
      </w:pPr>
      <w:r w:rsidRPr="007913E6">
        <w:rPr>
          <w:rFonts w:ascii="Palatino Linotype" w:hAnsi="Palatino Linotype"/>
          <w:i/>
        </w:rPr>
        <w:t xml:space="preserve">V. La fecha en que fue notificada la resolución impugnada;  </w:t>
      </w:r>
    </w:p>
    <w:p w:rsidR="00114C6F" w:rsidRPr="007913E6" w:rsidRDefault="00114C6F" w:rsidP="00114C6F">
      <w:pPr>
        <w:ind w:left="1134" w:right="902"/>
        <w:jc w:val="both"/>
        <w:rPr>
          <w:rFonts w:ascii="Palatino Linotype" w:hAnsi="Palatino Linotype"/>
          <w:i/>
        </w:rPr>
      </w:pPr>
      <w:r w:rsidRPr="007913E6">
        <w:rPr>
          <w:rFonts w:ascii="Palatino Linotype" w:hAnsi="Palatino Linotype"/>
          <w:i/>
        </w:rPr>
        <w:t xml:space="preserve">VI. El acto que se recurre;  </w:t>
      </w:r>
    </w:p>
    <w:p w:rsidR="00114C6F" w:rsidRPr="007913E6" w:rsidRDefault="00114C6F" w:rsidP="00114C6F">
      <w:pPr>
        <w:ind w:left="1134" w:right="902"/>
        <w:jc w:val="both"/>
        <w:rPr>
          <w:rFonts w:ascii="Palatino Linotype" w:hAnsi="Palatino Linotype"/>
          <w:i/>
        </w:rPr>
      </w:pPr>
      <w:r w:rsidRPr="007913E6">
        <w:rPr>
          <w:rFonts w:ascii="Palatino Linotype" w:hAnsi="Palatino Linotype"/>
          <w:i/>
        </w:rPr>
        <w:t xml:space="preserve">VII. Las razones o motivos de la inconformidad, y  </w:t>
      </w:r>
    </w:p>
    <w:p w:rsidR="00114C6F" w:rsidRPr="007913E6" w:rsidRDefault="00114C6F" w:rsidP="00114C6F">
      <w:pPr>
        <w:ind w:left="1134" w:right="902"/>
        <w:jc w:val="both"/>
        <w:rPr>
          <w:rFonts w:ascii="Palatino Linotype" w:hAnsi="Palatino Linotype"/>
          <w:i/>
        </w:rPr>
      </w:pPr>
      <w:r w:rsidRPr="007913E6">
        <w:rPr>
          <w:rFonts w:ascii="Palatino Linotype" w:hAnsi="Palatino Linotype"/>
          <w:i/>
        </w:rPr>
        <w:t xml:space="preserve">VIII. La copia de la resolución que se impugna y, en su caso, de la notificación correspondiente.  </w:t>
      </w:r>
    </w:p>
    <w:p w:rsidR="00114C6F" w:rsidRPr="007913E6" w:rsidRDefault="00114C6F" w:rsidP="00114C6F">
      <w:pPr>
        <w:ind w:left="851" w:right="902"/>
        <w:jc w:val="both"/>
        <w:rPr>
          <w:rFonts w:ascii="Palatino Linotype" w:hAnsi="Palatino Linotype"/>
          <w:i/>
        </w:rPr>
      </w:pPr>
      <w:r w:rsidRPr="007913E6">
        <w:rPr>
          <w:rFonts w:ascii="Palatino Linotype" w:hAnsi="Palatino Linotype"/>
          <w:i/>
        </w:rPr>
        <w:t>El recurrente podrá anexar las pruebas y demás elementos que considere procedentes someter a consideración del organismo garante.”</w:t>
      </w:r>
    </w:p>
    <w:p w:rsidR="005672E4" w:rsidRPr="005672E4" w:rsidRDefault="005672E4" w:rsidP="005672E4">
      <w:pPr>
        <w:pStyle w:val="Prrafodelista"/>
        <w:widowControl w:val="0"/>
        <w:autoSpaceDE w:val="0"/>
        <w:autoSpaceDN w:val="0"/>
        <w:adjustRightInd w:val="0"/>
        <w:spacing w:before="240" w:after="240" w:line="360" w:lineRule="auto"/>
        <w:ind w:left="0"/>
        <w:contextualSpacing w:val="0"/>
        <w:jc w:val="both"/>
        <w:rPr>
          <w:rFonts w:ascii="Palatino Linotype" w:hAnsi="Palatino Linotype" w:cs="Tahoma"/>
          <w:lang w:val="es-MX"/>
        </w:rPr>
      </w:pPr>
    </w:p>
    <w:p w:rsidR="00114C6F" w:rsidRPr="007913E6" w:rsidRDefault="00114C6F" w:rsidP="00114C6F">
      <w:pPr>
        <w:spacing w:before="120" w:after="240" w:line="360" w:lineRule="auto"/>
        <w:jc w:val="both"/>
        <w:rPr>
          <w:rFonts w:ascii="Palatino Linotype" w:hAnsi="Palatino Linotype"/>
          <w:sz w:val="24"/>
          <w:szCs w:val="24"/>
        </w:rPr>
      </w:pPr>
      <w:r w:rsidRPr="007913E6">
        <w:rPr>
          <w:rFonts w:ascii="Palatino Linotype" w:hAnsi="Palatino Linotype"/>
          <w:sz w:val="24"/>
          <w:szCs w:val="24"/>
        </w:rPr>
        <w:t>Por lo que concluyó diciendo, que a fin de salvaguardar el derecho de acceso a la información del particular, se le debió notificar mediante el resolutivo que podía interponer recurso de inconformidad ante el Instituto Nacional de Transparencia, Acceso a la Información y Protección de Datos Personales (INAI) con base en lo dispuesto en los artículos 196 de la Ley de Transparencia y Acceso a la Información Pública del Estado de México de México y Municipios, 159 y 160 de la Ley General de Transparencia y Acceso a la Información Pública.</w:t>
      </w:r>
    </w:p>
    <w:p w:rsidR="00923BD5" w:rsidRPr="00114C6F" w:rsidRDefault="00114C6F" w:rsidP="00114C6F">
      <w:pPr>
        <w:spacing w:before="120" w:after="240" w:line="360" w:lineRule="auto"/>
        <w:jc w:val="both"/>
        <w:rPr>
          <w:rFonts w:ascii="Palatino Linotype" w:hAnsi="Palatino Linotype"/>
        </w:rPr>
      </w:pPr>
      <w:r w:rsidRPr="00B51880">
        <w:rPr>
          <w:rFonts w:ascii="Palatino Linotype" w:hAnsi="Palatino Linotype"/>
          <w:sz w:val="24"/>
          <w:szCs w:val="24"/>
        </w:rPr>
        <w:t xml:space="preserve">Lo anterior, son razones suficientes para la </w:t>
      </w:r>
      <w:r>
        <w:rPr>
          <w:rFonts w:ascii="Palatino Linotype" w:hAnsi="Palatino Linotype"/>
          <w:sz w:val="24"/>
          <w:szCs w:val="24"/>
        </w:rPr>
        <w:t>emisión</w:t>
      </w:r>
      <w:r w:rsidRPr="00B51880">
        <w:rPr>
          <w:rFonts w:ascii="Palatino Linotype" w:hAnsi="Palatino Linotype"/>
          <w:sz w:val="24"/>
          <w:szCs w:val="24"/>
        </w:rPr>
        <w:t xml:space="preserve"> y presentación de</w:t>
      </w:r>
      <w:r>
        <w:rPr>
          <w:rFonts w:ascii="Palatino Linotype" w:hAnsi="Palatino Linotype"/>
          <w:sz w:val="24"/>
          <w:szCs w:val="24"/>
        </w:rPr>
        <w:t>l presente Voto Particular relacionado con la resolución del recurso de revisión referido.</w:t>
      </w:r>
    </w:p>
    <w:p w:rsidR="00923BD5" w:rsidRPr="009421B1" w:rsidRDefault="00923BD5" w:rsidP="00114C6F">
      <w:pPr>
        <w:spacing w:before="240" w:after="360" w:line="360" w:lineRule="auto"/>
        <w:jc w:val="center"/>
        <w:rPr>
          <w:rFonts w:ascii="Palatino Linotype" w:hAnsi="Palatino Linotype"/>
          <w:sz w:val="24"/>
          <w:szCs w:val="24"/>
        </w:rPr>
      </w:pPr>
    </w:p>
    <w:p w:rsidR="00923BD5" w:rsidRPr="003F3117" w:rsidRDefault="00923BD5" w:rsidP="00114C6F">
      <w:pPr>
        <w:spacing w:after="0" w:line="240" w:lineRule="auto"/>
        <w:jc w:val="center"/>
        <w:rPr>
          <w:rFonts w:ascii="Palatino Linotype" w:hAnsi="Palatino Linotype"/>
          <w:b/>
          <w:sz w:val="28"/>
          <w:szCs w:val="28"/>
        </w:rPr>
      </w:pPr>
      <w:r>
        <w:rPr>
          <w:rFonts w:ascii="Palatino Linotype" w:hAnsi="Palatino Linotype"/>
          <w:b/>
          <w:sz w:val="28"/>
          <w:szCs w:val="28"/>
        </w:rPr>
        <w:t>Javier Martínez Cruz</w:t>
      </w:r>
      <w:bookmarkStart w:id="0" w:name="_GoBack"/>
      <w:bookmarkEnd w:id="0"/>
    </w:p>
    <w:p w:rsidR="00923BD5" w:rsidRDefault="00923BD5" w:rsidP="00114C6F">
      <w:pPr>
        <w:spacing w:after="0" w:line="240" w:lineRule="auto"/>
        <w:jc w:val="center"/>
        <w:rPr>
          <w:rFonts w:ascii="Palatino Linotype" w:hAnsi="Palatino Linotype"/>
          <w:b/>
          <w:sz w:val="24"/>
          <w:szCs w:val="24"/>
        </w:rPr>
      </w:pPr>
      <w:r>
        <w:rPr>
          <w:rFonts w:ascii="Palatino Linotype" w:hAnsi="Palatino Linotype"/>
          <w:b/>
          <w:sz w:val="24"/>
          <w:szCs w:val="24"/>
        </w:rPr>
        <w:t>Comisionado</w:t>
      </w:r>
    </w:p>
    <w:p w:rsidR="00B71BFC" w:rsidRPr="00923BD5" w:rsidRDefault="00923BD5" w:rsidP="00114C6F">
      <w:pPr>
        <w:spacing w:after="0" w:line="240" w:lineRule="auto"/>
        <w:jc w:val="center"/>
        <w:rPr>
          <w:rFonts w:ascii="Palatino Linotype" w:hAnsi="Palatino Linotype"/>
          <w:b/>
          <w:sz w:val="24"/>
          <w:szCs w:val="24"/>
        </w:rPr>
      </w:pPr>
      <w:r>
        <w:rPr>
          <w:rFonts w:ascii="Palatino Linotype" w:hAnsi="Palatino Linotype"/>
          <w:b/>
          <w:sz w:val="24"/>
          <w:szCs w:val="24"/>
        </w:rPr>
        <w:t>(Rúbrica)</w:t>
      </w:r>
    </w:p>
    <w:sectPr w:rsidR="00B71BFC" w:rsidRPr="00923BD5"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307" w:rsidRDefault="007F0307" w:rsidP="00907451">
      <w:pPr>
        <w:spacing w:after="0" w:line="240" w:lineRule="auto"/>
      </w:pPr>
      <w:r>
        <w:separator/>
      </w:r>
    </w:p>
  </w:endnote>
  <w:endnote w:type="continuationSeparator" w:id="0">
    <w:p w:rsidR="007F0307" w:rsidRDefault="007F0307"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14C6F">
      <w:rPr>
        <w:rFonts w:ascii="Arial" w:hAnsi="Arial" w:cs="Arial"/>
        <w:b/>
        <w:bCs/>
        <w:noProof/>
        <w:sz w:val="20"/>
        <w:szCs w:val="20"/>
      </w:rPr>
      <w:t>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14C6F">
      <w:rPr>
        <w:rFonts w:ascii="Arial" w:hAnsi="Arial" w:cs="Arial"/>
        <w:b/>
        <w:bCs/>
        <w:noProof/>
        <w:sz w:val="20"/>
        <w:szCs w:val="20"/>
      </w:rPr>
      <w:t>7</w:t>
    </w:r>
    <w:r w:rsidRPr="00986599">
      <w:rPr>
        <w:rFonts w:ascii="Arial" w:hAnsi="Arial" w:cs="Arial"/>
        <w:b/>
        <w:bCs/>
        <w:sz w:val="20"/>
        <w:szCs w:val="20"/>
      </w:rPr>
      <w:fldChar w:fldCharType="end"/>
    </w:r>
  </w:p>
  <w:p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307" w:rsidRDefault="007F0307" w:rsidP="00907451">
      <w:pPr>
        <w:spacing w:after="0" w:line="240" w:lineRule="auto"/>
      </w:pPr>
      <w:r>
        <w:separator/>
      </w:r>
    </w:p>
  </w:footnote>
  <w:footnote w:type="continuationSeparator" w:id="0">
    <w:p w:rsidR="007F0307" w:rsidRDefault="007F0307" w:rsidP="00907451">
      <w:pPr>
        <w:spacing w:after="0" w:line="240" w:lineRule="auto"/>
      </w:pPr>
      <w:r>
        <w:continuationSeparator/>
      </w:r>
    </w:p>
  </w:footnote>
  <w:footnote w:id="1">
    <w:p w:rsidR="00114C6F" w:rsidRPr="0072797F" w:rsidRDefault="00114C6F" w:rsidP="00114C6F">
      <w:pPr>
        <w:pStyle w:val="Textonotapie"/>
        <w:jc w:val="both"/>
        <w:rPr>
          <w:rFonts w:ascii="Palatino Linotype" w:hAnsi="Palatino Linotype"/>
          <w:i/>
          <w:sz w:val="18"/>
          <w:szCs w:val="18"/>
        </w:rPr>
      </w:pPr>
      <w:r>
        <w:rPr>
          <w:rStyle w:val="Refdenotaalpie"/>
        </w:rPr>
        <w:footnoteRef/>
      </w:r>
      <w:r>
        <w:t xml:space="preserve"> </w:t>
      </w:r>
      <w:r w:rsidRPr="0072797F">
        <w:rPr>
          <w:rFonts w:ascii="Palatino Linotype" w:hAnsi="Palatino Linotype"/>
          <w:i/>
          <w:sz w:val="18"/>
          <w:szCs w:val="18"/>
        </w:rPr>
        <w:t xml:space="preserve">Cfr. </w:t>
      </w:r>
      <w:r w:rsidRPr="0072797F">
        <w:rPr>
          <w:rFonts w:ascii="Palatino Linotype" w:hAnsi="Palatino Linotype"/>
          <w:sz w:val="18"/>
          <w:szCs w:val="18"/>
        </w:rPr>
        <w:t xml:space="preserve">Tesis Aislada de la Décima Época P. II/2017 (10a.) </w:t>
      </w:r>
      <w:r w:rsidRPr="0072797F">
        <w:rPr>
          <w:rFonts w:ascii="Palatino Linotype" w:hAnsi="Palatino Linotype"/>
          <w:i/>
          <w:sz w:val="18"/>
          <w:szCs w:val="18"/>
        </w:rPr>
        <w:t>INTERPRETACIÓN CONFORME. SUS ALCANCES EN RELACIÓN CON EL PRINCIPIO DE INTERPRETACIÓN MÁS FAVORABLE A LA PERSONA. El principio de interpretación conforme se fundamenta en el diverso de conservación legal, lo que supone que dicha interpretación está limitada por dos aspectos: uno subjetivo y otro objetivo; por un lado, aquél encuentra su límite en la voluntad del legislador, es decir, se relaciona con la funcionalidad y el alcance que el legislador imprimió a la norma y, por otro, el criterio objetivo es el resultado final o el propio texto de la norma en cuestión. En el caso de la voluntad objetiva del legislador, la interpretación conforme puede realizarse siempre y cuando el sentido normativo resultante de la ley no conlleve una distorsión, sino una atemperación o adecuación frente al texto original de la disposición normativa impugnada; asimismo, el principio de interpretación conforme se fundamenta en una presunción general de validez de las normas que tiene como propósito la conservación de las leyes; por ello, se trata de un método que opera antes de estimar inconstitucional o inconvencional un precepto legal. En ese sentido, sólo cuando exista una clara incompatibilidad o contradicción que se torne insalvable entre una norma ordinaria y la Constitución Política de los Estados Unidos Mexicanos o algún instrumento internacional, se realizará una declaración de inconstitucionalidad o, en su caso, de inconvencionalidad; por tanto, el operador jurídico, al utilizar el principio de interpretación conforme, deberá agotar todas las posibilidades de encontrar en la disposición normativa impugnada un significado que la haga compatible con la Constitución o con algún instrumento internacional. Al respecto, dicha técnica interpretativa está íntimamente vinculada con el principio de interpretación más favorable a la persona, el cual obliga a maximizar la interpretación conforme de todas las normas expedidas por el legislador al texto constitucional y a los instrumentos internacionales, en aquellos escenarios en los que permita la efectividad de los derechos humanos de las personas frente al vacío legislativo que previsiblemente pudiera ocasionar la declaración de inconstitucionalidad de la disposición de observancia general. Por tanto, mientras la interpretación conforme supone armonizar su contenido con el texto constitucional, el principio de interpretación más favorable a la persona lo potencia significativamente, al obligar al operador jurídico a optar por la disposición que más beneficie a la persona y en todo caso a la sociedad.</w:t>
      </w:r>
    </w:p>
  </w:footnote>
  <w:footnote w:id="2">
    <w:p w:rsidR="00114C6F" w:rsidRPr="0072797F" w:rsidRDefault="00114C6F" w:rsidP="00114C6F">
      <w:pPr>
        <w:pStyle w:val="Textonotapie"/>
        <w:jc w:val="both"/>
        <w:rPr>
          <w:rFonts w:ascii="Palatino Linotype" w:hAnsi="Palatino Linotype"/>
          <w:i/>
          <w:sz w:val="18"/>
          <w:szCs w:val="18"/>
        </w:rPr>
      </w:pPr>
      <w:r>
        <w:rPr>
          <w:rStyle w:val="Refdenotaalpie"/>
        </w:rPr>
        <w:footnoteRef/>
      </w:r>
      <w:r>
        <w:t xml:space="preserve"> </w:t>
      </w:r>
      <w:r w:rsidRPr="0072797F">
        <w:rPr>
          <w:rFonts w:ascii="Palatino Linotype" w:hAnsi="Palatino Linotype"/>
          <w:i/>
          <w:sz w:val="18"/>
          <w:szCs w:val="18"/>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Está prohibida la esclavitud en los Estados Unidos Mexicanos. Los esclavos del extranjero que entren al territorio nacional alcanzarán, por este solo hecho, su libertad y la protección de las leyes.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7F0307" w:rsidRDefault="007F0307" w:rsidP="007F0307">
    <w:pPr>
      <w:pStyle w:val="Encabezado"/>
      <w:jc w:val="right"/>
      <w:rPr>
        <w:rFonts w:ascii="Arial" w:hAnsi="Arial" w:cs="Arial"/>
        <w:sz w:val="20"/>
        <w:szCs w:val="20"/>
      </w:rPr>
    </w:pPr>
  </w:p>
  <w:p w:rsidR="007F0307" w:rsidRDefault="007F0307" w:rsidP="007F0307">
    <w:pPr>
      <w:pStyle w:val="Encabezado"/>
      <w:jc w:val="right"/>
      <w:rPr>
        <w:rFonts w:ascii="Arial" w:hAnsi="Arial" w:cs="Arial"/>
        <w:sz w:val="20"/>
        <w:szCs w:val="20"/>
      </w:rPr>
    </w:pPr>
  </w:p>
  <w:p w:rsidR="007F0307" w:rsidRPr="00563D0F" w:rsidRDefault="007F030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009D2EE1">
      <w:rPr>
        <w:rFonts w:ascii="Palatino Linotype" w:hAnsi="Palatino Linotype" w:cs="Arial"/>
        <w:b/>
        <w:sz w:val="20"/>
        <w:szCs w:val="20"/>
      </w:rPr>
      <w:t xml:space="preserve"> </w:t>
    </w:r>
  </w:p>
  <w:p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C451CE">
      <w:rPr>
        <w:rFonts w:ascii="Palatino Linotype" w:hAnsi="Palatino Linotype"/>
        <w:b/>
        <w:sz w:val="22"/>
        <w:szCs w:val="22"/>
        <w:lang w:val="es-ES_tradnl"/>
      </w:rPr>
      <w:t>04221</w:t>
    </w:r>
    <w:r w:rsidR="00572030" w:rsidRPr="00572030">
      <w:rPr>
        <w:rFonts w:ascii="Palatino Linotype" w:hAnsi="Palatino Linotype"/>
        <w:b/>
        <w:sz w:val="22"/>
        <w:szCs w:val="22"/>
        <w:lang w:val="es-ES_tradnl"/>
      </w:rPr>
      <w:t>/INFOEM/IP/RR/2018</w:t>
    </w:r>
    <w:r w:rsidR="00FD03B0">
      <w:rPr>
        <w:rFonts w:ascii="Palatino Linotype" w:hAnsi="Palatino Linotype"/>
        <w:b/>
        <w:sz w:val="22"/>
        <w:szCs w:val="22"/>
        <w:lang w:val="es-ES_tradnl"/>
      </w:rPr>
      <w:t xml:space="preserve"> </w:t>
    </w:r>
  </w:p>
  <w:p w:rsidR="007F0307" w:rsidRDefault="007F0307"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42F08"/>
    <w:multiLevelType w:val="hybridMultilevel"/>
    <w:tmpl w:val="20D60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E3931F9"/>
    <w:multiLevelType w:val="hybridMultilevel"/>
    <w:tmpl w:val="98F2085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531E76C4"/>
    <w:multiLevelType w:val="hybridMultilevel"/>
    <w:tmpl w:val="0F8E2F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72A783C"/>
    <w:multiLevelType w:val="hybridMultilevel"/>
    <w:tmpl w:val="C2083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A70229F"/>
    <w:multiLevelType w:val="multilevel"/>
    <w:tmpl w:val="D07E1DAA"/>
    <w:lvl w:ilvl="0">
      <w:start w:val="1"/>
      <w:numFmt w:val="decimal"/>
      <w:lvlText w:val="%1."/>
      <w:lvlJc w:val="left"/>
      <w:pPr>
        <w:ind w:left="360" w:hanging="360"/>
      </w:pPr>
      <w:rPr>
        <w:rFonts w:hint="default"/>
        <w:b/>
      </w:rPr>
    </w:lvl>
    <w:lvl w:ilvl="1">
      <w:start w:val="1"/>
      <w:numFmt w:val="decimal"/>
      <w:lvlText w:val="%1.%2."/>
      <w:lvlJc w:val="left"/>
      <w:pPr>
        <w:ind w:left="792" w:hanging="432"/>
      </w:pPr>
      <w:rPr>
        <w:b/>
        <w:lang w:val="pt-BR"/>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AE367C8"/>
    <w:multiLevelType w:val="hybridMultilevel"/>
    <w:tmpl w:val="681EA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6DF1788"/>
    <w:multiLevelType w:val="hybridMultilevel"/>
    <w:tmpl w:val="D6DE8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42A3C"/>
    <w:rsid w:val="00051C17"/>
    <w:rsid w:val="00057319"/>
    <w:rsid w:val="000607BA"/>
    <w:rsid w:val="0011440C"/>
    <w:rsid w:val="00114C6F"/>
    <w:rsid w:val="00155046"/>
    <w:rsid w:val="00174EA4"/>
    <w:rsid w:val="001822F4"/>
    <w:rsid w:val="001A015D"/>
    <w:rsid w:val="001A7C78"/>
    <w:rsid w:val="00206634"/>
    <w:rsid w:val="002073F9"/>
    <w:rsid w:val="00215353"/>
    <w:rsid w:val="00232C29"/>
    <w:rsid w:val="002618A9"/>
    <w:rsid w:val="00292D40"/>
    <w:rsid w:val="002A5ADD"/>
    <w:rsid w:val="002A6359"/>
    <w:rsid w:val="00320BAF"/>
    <w:rsid w:val="00347C52"/>
    <w:rsid w:val="0035068A"/>
    <w:rsid w:val="00356493"/>
    <w:rsid w:val="0036408D"/>
    <w:rsid w:val="0036634A"/>
    <w:rsid w:val="003B33CF"/>
    <w:rsid w:val="00456467"/>
    <w:rsid w:val="00503956"/>
    <w:rsid w:val="00505F5A"/>
    <w:rsid w:val="005549ED"/>
    <w:rsid w:val="005672E4"/>
    <w:rsid w:val="005718F4"/>
    <w:rsid w:val="00572030"/>
    <w:rsid w:val="00574532"/>
    <w:rsid w:val="005777C1"/>
    <w:rsid w:val="005C2E7F"/>
    <w:rsid w:val="005C62FC"/>
    <w:rsid w:val="005D066B"/>
    <w:rsid w:val="005F4C0C"/>
    <w:rsid w:val="006214D7"/>
    <w:rsid w:val="00674295"/>
    <w:rsid w:val="00675C15"/>
    <w:rsid w:val="00683B2B"/>
    <w:rsid w:val="006A625D"/>
    <w:rsid w:val="006A6AF4"/>
    <w:rsid w:val="006C34A1"/>
    <w:rsid w:val="006E048C"/>
    <w:rsid w:val="006F1710"/>
    <w:rsid w:val="006F346D"/>
    <w:rsid w:val="007B6EE5"/>
    <w:rsid w:val="007C6C71"/>
    <w:rsid w:val="007D3AEB"/>
    <w:rsid w:val="007F0307"/>
    <w:rsid w:val="00807896"/>
    <w:rsid w:val="00807B02"/>
    <w:rsid w:val="00817AA2"/>
    <w:rsid w:val="00871E3F"/>
    <w:rsid w:val="00872711"/>
    <w:rsid w:val="00883ABB"/>
    <w:rsid w:val="00892DF4"/>
    <w:rsid w:val="00895041"/>
    <w:rsid w:val="00897E24"/>
    <w:rsid w:val="008A4206"/>
    <w:rsid w:val="008E2933"/>
    <w:rsid w:val="00902BEC"/>
    <w:rsid w:val="00907451"/>
    <w:rsid w:val="00921613"/>
    <w:rsid w:val="00923BD5"/>
    <w:rsid w:val="009338B8"/>
    <w:rsid w:val="00935ABC"/>
    <w:rsid w:val="009421B1"/>
    <w:rsid w:val="00956FEF"/>
    <w:rsid w:val="009611D3"/>
    <w:rsid w:val="009667C0"/>
    <w:rsid w:val="0098633B"/>
    <w:rsid w:val="009C6D4B"/>
    <w:rsid w:val="009D2EE1"/>
    <w:rsid w:val="009D4A3C"/>
    <w:rsid w:val="009F4EB8"/>
    <w:rsid w:val="00A01E1E"/>
    <w:rsid w:val="00A1161D"/>
    <w:rsid w:val="00A21005"/>
    <w:rsid w:val="00A3528D"/>
    <w:rsid w:val="00A436F1"/>
    <w:rsid w:val="00AA53B5"/>
    <w:rsid w:val="00AD0389"/>
    <w:rsid w:val="00AE0F71"/>
    <w:rsid w:val="00B02DEB"/>
    <w:rsid w:val="00B42E5B"/>
    <w:rsid w:val="00B547F4"/>
    <w:rsid w:val="00B64C32"/>
    <w:rsid w:val="00B71BFC"/>
    <w:rsid w:val="00B95ED4"/>
    <w:rsid w:val="00B976C5"/>
    <w:rsid w:val="00BD3823"/>
    <w:rsid w:val="00BE1582"/>
    <w:rsid w:val="00BE6B5D"/>
    <w:rsid w:val="00C11623"/>
    <w:rsid w:val="00C2534B"/>
    <w:rsid w:val="00C272EE"/>
    <w:rsid w:val="00C44E15"/>
    <w:rsid w:val="00C451CE"/>
    <w:rsid w:val="00CB1CEB"/>
    <w:rsid w:val="00CC5CDC"/>
    <w:rsid w:val="00CE45F1"/>
    <w:rsid w:val="00CF29D2"/>
    <w:rsid w:val="00D2588A"/>
    <w:rsid w:val="00D32E4F"/>
    <w:rsid w:val="00D54152"/>
    <w:rsid w:val="00D729EE"/>
    <w:rsid w:val="00DA6449"/>
    <w:rsid w:val="00DB70E3"/>
    <w:rsid w:val="00DC752B"/>
    <w:rsid w:val="00E20299"/>
    <w:rsid w:val="00E30FFD"/>
    <w:rsid w:val="00E35D2D"/>
    <w:rsid w:val="00E476F0"/>
    <w:rsid w:val="00E70DD8"/>
    <w:rsid w:val="00E920D4"/>
    <w:rsid w:val="00EB5C74"/>
    <w:rsid w:val="00F13DA6"/>
    <w:rsid w:val="00F466F2"/>
    <w:rsid w:val="00F76B05"/>
    <w:rsid w:val="00F97255"/>
    <w:rsid w:val="00FD03B0"/>
    <w:rsid w:val="00FD3336"/>
    <w:rsid w:val="00FE273F"/>
    <w:rsid w:val="00FE653C"/>
    <w:rsid w:val="00FF6A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rsid w:val="00921613"/>
    <w:rPr>
      <w:vertAlign w:val="superscript"/>
    </w:rPr>
  </w:style>
  <w:style w:type="character" w:styleId="Hipervnculo">
    <w:name w:val="Hyperlink"/>
    <w:basedOn w:val="Fuentedeprrafopredeter"/>
    <w:uiPriority w:val="99"/>
    <w:semiHidden/>
    <w:unhideWhenUsed/>
    <w:rsid w:val="00EB5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D104098-A0C6-41C0-806C-1CE9E945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1336</Words>
  <Characters>7354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28</cp:revision>
  <cp:lastPrinted>2019-01-21T20:30:00Z</cp:lastPrinted>
  <dcterms:created xsi:type="dcterms:W3CDTF">2019-01-18T16:13:00Z</dcterms:created>
  <dcterms:modified xsi:type="dcterms:W3CDTF">2019-01-25T19:56:00Z</dcterms:modified>
</cp:coreProperties>
</file>